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  <w:rPr>
          <w:b/>
          <w:sz w:val="28"/>
        </w:rPr>
      </w:pPr>
      <w:r>
        <w:rPr>
          <w:noProof/>
        </w:rPr>
        <w:drawing>
          <wp:inline distT="0" distB="0" distL="0" distR="0">
            <wp:extent cx="1325880" cy="929640"/>
            <wp:effectExtent l="0" t="0" r="7620" b="381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pStyle w:val="2"/>
        <w:jc w:val="center"/>
        <w:rPr>
          <w:rFonts w:ascii="Times New Roman" w:hAnsi="Times New Roman" w:cs="Times New Roman"/>
          <w:i w:val="0"/>
          <w:sz w:val="32"/>
          <w:szCs w:val="32"/>
        </w:rPr>
      </w:pPr>
      <w:r>
        <w:rPr>
          <w:rFonts w:ascii="Times New Roman" w:hAnsi="Times New Roman" w:cs="Times New Roman"/>
          <w:i w:val="0"/>
          <w:sz w:val="32"/>
          <w:szCs w:val="32"/>
        </w:rPr>
        <w:t>РОССИЙСКАЯ ФЕДЕРАЦИЯ</w:t>
      </w:r>
    </w:p>
    <w:p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ЧУКОТСКИЙ АВТОНОМНЫЙ ОКРУГ</w:t>
      </w:r>
    </w:p>
    <w:p>
      <w:pPr>
        <w:pStyle w:val="2"/>
        <w:jc w:val="center"/>
        <w:rPr>
          <w:rFonts w:ascii="Times New Roman" w:hAnsi="Times New Roman" w:cs="Times New Roman"/>
          <w:i w:val="0"/>
          <w:sz w:val="32"/>
          <w:szCs w:val="32"/>
        </w:rPr>
      </w:pPr>
      <w:r>
        <w:rPr>
          <w:rFonts w:ascii="Times New Roman" w:hAnsi="Times New Roman" w:cs="Times New Roman"/>
          <w:i w:val="0"/>
          <w:sz w:val="32"/>
          <w:szCs w:val="32"/>
        </w:rPr>
        <w:t>СОВЕТ ДЕПУТАТОВ</w:t>
      </w:r>
    </w:p>
    <w:p>
      <w:pPr>
        <w:tabs>
          <w:tab w:val="left" w:pos="3135"/>
          <w:tab w:val="center" w:pos="4819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городского округа Анадырь</w:t>
      </w:r>
    </w:p>
    <w:p>
      <w:pPr>
        <w:tabs>
          <w:tab w:val="left" w:pos="3135"/>
          <w:tab w:val="center" w:pos="4819"/>
        </w:tabs>
        <w:rPr>
          <w:b/>
        </w:rPr>
      </w:pPr>
    </w:p>
    <w:p>
      <w:pPr>
        <w:tabs>
          <w:tab w:val="left" w:pos="3135"/>
          <w:tab w:val="center" w:pos="4819"/>
        </w:tabs>
        <w:jc w:val="center"/>
        <w:rPr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Р Е Ш Е Н И Е</w:t>
      </w:r>
    </w:p>
    <w:p>
      <w:pPr>
        <w:tabs>
          <w:tab w:val="left" w:pos="24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LII</w:t>
      </w:r>
      <w:r>
        <w:rPr>
          <w:sz w:val="28"/>
          <w:szCs w:val="28"/>
        </w:rPr>
        <w:t xml:space="preserve"> сессия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созыва)</w:t>
      </w:r>
    </w:p>
    <w:p>
      <w:pPr>
        <w:jc w:val="center"/>
      </w:pPr>
    </w:p>
    <w:p>
      <w:pPr>
        <w:rPr>
          <w:sz w:val="28"/>
          <w:szCs w:val="28"/>
        </w:rPr>
      </w:pPr>
      <w:r>
        <w:rPr>
          <w:sz w:val="28"/>
          <w:szCs w:val="28"/>
        </w:rPr>
        <w:t>От 25 мая 2023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№ 362 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rPr>
          <w:sz w:val="28"/>
          <w:szCs w:val="28"/>
        </w:rPr>
      </w:pPr>
    </w:p>
    <w:p>
      <w:pPr>
        <w:tabs>
          <w:tab w:val="left" w:pos="709"/>
        </w:tabs>
        <w:ind w:right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ключевых показателей и их целевых значений, индикативных показателей муниципального контроля в сфере благоустройства на территории городского округа Анадырь </w:t>
      </w: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pStyle w:val="ConsPlusNormal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Федеральным законом от 31 июля 2020 года № 248-ФЗ «О государственном контроле (надзоре) и муниципальном контроле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>Уставом городского округа Анадырь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jc w:val="both"/>
        <w:rPr>
          <w:b/>
          <w:sz w:val="28"/>
          <w:szCs w:val="28"/>
        </w:rPr>
      </w:pP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городского округа Анадырь </w:t>
      </w:r>
    </w:p>
    <w:p>
      <w:pPr>
        <w:jc w:val="both"/>
        <w:rPr>
          <w:b/>
          <w:sz w:val="28"/>
          <w:szCs w:val="28"/>
        </w:rPr>
      </w:pP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 Е Ш И Л:</w:t>
      </w: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>
      <w:pPr>
        <w:jc w:val="both"/>
        <w:rPr>
          <w:b/>
          <w:sz w:val="28"/>
          <w:szCs w:val="28"/>
        </w:rPr>
      </w:pPr>
    </w:p>
    <w:p>
      <w:pPr>
        <w:pStyle w:val="af6"/>
        <w:jc w:val="both"/>
        <w:rPr>
          <w:sz w:val="28"/>
          <w:szCs w:val="28"/>
        </w:rPr>
      </w:pPr>
      <w:r>
        <w:rPr>
          <w:b/>
        </w:rPr>
        <w:tab/>
      </w:r>
      <w:r>
        <w:rPr>
          <w:sz w:val="28"/>
          <w:szCs w:val="28"/>
        </w:rPr>
        <w:t>1. Утвердить прилагаемые ключевые показатели и их целевые значения, индикативные показатели муниципального контроля в сфере благоустройства на территории городского округа Анадырь.</w:t>
      </w:r>
    </w:p>
    <w:p>
      <w:pPr>
        <w:pStyle w:val="af6"/>
        <w:ind w:firstLine="709"/>
        <w:jc w:val="both"/>
        <w:rPr>
          <w:sz w:val="28"/>
          <w:szCs w:val="28"/>
        </w:rPr>
      </w:pPr>
    </w:p>
    <w:p>
      <w:pPr>
        <w:pStyle w:val="af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Разместить информацию на официальном сайте Администрации городского округа Анадырь.</w:t>
      </w:r>
    </w:p>
    <w:p>
      <w:pPr>
        <w:pStyle w:val="af6"/>
        <w:ind w:firstLine="709"/>
        <w:jc w:val="both"/>
        <w:rPr>
          <w:sz w:val="28"/>
          <w:szCs w:val="28"/>
        </w:rPr>
      </w:pPr>
    </w:p>
    <w:p>
      <w:pPr>
        <w:widowControl w:val="0"/>
        <w:autoSpaceDE w:val="0"/>
        <w:autoSpaceDN w:val="0"/>
        <w:ind w:firstLine="54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bCs/>
          <w:sz w:val="28"/>
          <w:szCs w:val="28"/>
        </w:rPr>
        <w:t xml:space="preserve">Настоящее решение подлежит официальному опубликованию и вступает </w:t>
      </w:r>
      <w:r>
        <w:rPr>
          <w:bCs/>
          <w:sz w:val="28"/>
          <w:szCs w:val="28"/>
        </w:rPr>
        <w:lastRenderedPageBreak/>
        <w:t>в силу со дня его официального опубликования.</w:t>
      </w:r>
    </w:p>
    <w:p>
      <w:pPr>
        <w:pStyle w:val="af6"/>
        <w:ind w:firstLine="709"/>
        <w:jc w:val="both"/>
        <w:rPr>
          <w:sz w:val="28"/>
          <w:szCs w:val="28"/>
        </w:rPr>
      </w:pPr>
    </w:p>
    <w:p>
      <w:pPr>
        <w:tabs>
          <w:tab w:val="left" w:pos="720"/>
        </w:tabs>
        <w:ind w:firstLine="702"/>
        <w:jc w:val="both"/>
        <w:rPr>
          <w:sz w:val="28"/>
          <w:szCs w:val="28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4928"/>
        <w:gridCol w:w="5103"/>
      </w:tblGrid>
      <w:tr>
        <w:tc>
          <w:tcPr>
            <w:tcW w:w="4928" w:type="dxa"/>
          </w:tcPr>
          <w:p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Глава городского округа</w:t>
            </w:r>
          </w:p>
          <w:p>
            <w:pPr>
              <w:rPr>
                <w:b/>
                <w:bCs/>
                <w:sz w:val="28"/>
                <w:szCs w:val="28"/>
              </w:rPr>
            </w:pPr>
          </w:p>
          <w:p>
            <w:pPr>
              <w:rPr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__________________Л.А. Николаев</w:t>
            </w:r>
          </w:p>
        </w:tc>
        <w:tc>
          <w:tcPr>
            <w:tcW w:w="5103" w:type="dxa"/>
          </w:tcPr>
          <w:p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Председатель Совета депутатов</w:t>
            </w:r>
          </w:p>
          <w:p>
            <w:pPr>
              <w:jc w:val="right"/>
              <w:rPr>
                <w:b/>
                <w:bCs/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__________________В.А. Тюхтий</w:t>
            </w:r>
          </w:p>
        </w:tc>
      </w:tr>
    </w:tbl>
    <w:p>
      <w:pPr>
        <w:spacing w:line="240" w:lineRule="exact"/>
        <w:ind w:left="5398"/>
        <w:rPr>
          <w:b/>
          <w:color w:val="000000"/>
        </w:rPr>
      </w:pPr>
    </w:p>
    <w:p>
      <w:pPr>
        <w:spacing w:line="240" w:lineRule="exact"/>
        <w:ind w:left="5398"/>
        <w:jc w:val="center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tabs>
          <w:tab w:val="left" w:pos="7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г. Анадырь</w:t>
      </w:r>
    </w:p>
    <w:p>
      <w:pPr>
        <w:tabs>
          <w:tab w:val="left" w:pos="780"/>
        </w:tabs>
        <w:jc w:val="both"/>
        <w:rPr>
          <w:sz w:val="28"/>
          <w:szCs w:val="28"/>
        </w:rPr>
      </w:pPr>
      <w:r>
        <w:rPr>
          <w:sz w:val="28"/>
          <w:szCs w:val="28"/>
        </w:rPr>
        <w:t>25 мая 2023 года</w:t>
      </w:r>
    </w:p>
    <w:p>
      <w:pPr>
        <w:tabs>
          <w:tab w:val="left" w:pos="780"/>
        </w:tabs>
        <w:jc w:val="both"/>
        <w:rPr>
          <w:sz w:val="28"/>
          <w:szCs w:val="28"/>
        </w:rPr>
      </w:pPr>
      <w:r>
        <w:rPr>
          <w:sz w:val="28"/>
          <w:szCs w:val="28"/>
        </w:rPr>
        <w:t>№ 362</w:t>
      </w: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tabs>
          <w:tab w:val="num" w:pos="200"/>
        </w:tabs>
        <w:ind w:left="4536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Приложение</w:t>
      </w:r>
    </w:p>
    <w:p>
      <w:pPr>
        <w:ind w:left="4536"/>
        <w:jc w:val="center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к Решению </w:t>
      </w:r>
      <w:r>
        <w:rPr>
          <w:bCs/>
          <w:color w:val="000000"/>
          <w:sz w:val="28"/>
          <w:szCs w:val="28"/>
        </w:rPr>
        <w:t>Советов депутатов</w:t>
      </w:r>
    </w:p>
    <w:p>
      <w:pPr>
        <w:ind w:left="4536"/>
        <w:jc w:val="center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городского округа Анадырь</w:t>
      </w:r>
    </w:p>
    <w:p>
      <w:pPr>
        <w:tabs>
          <w:tab w:val="num" w:pos="200"/>
        </w:tabs>
        <w:ind w:left="4536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от  25 мая 2023 № 362</w:t>
      </w:r>
      <w:bookmarkStart w:id="0" w:name="_GoBack"/>
      <w:bookmarkEnd w:id="0"/>
    </w:p>
    <w:p>
      <w:pPr>
        <w:ind w:firstLine="567"/>
        <w:jc w:val="right"/>
        <w:rPr>
          <w:color w:val="000000"/>
          <w:sz w:val="17"/>
          <w:szCs w:val="17"/>
        </w:rPr>
      </w:pPr>
    </w:p>
    <w:p>
      <w:pPr>
        <w:ind w:firstLine="567"/>
        <w:jc w:val="right"/>
        <w:rPr>
          <w:color w:val="000000"/>
          <w:sz w:val="17"/>
          <w:szCs w:val="17"/>
        </w:rPr>
      </w:pPr>
    </w:p>
    <w:p>
      <w:pPr>
        <w:jc w:val="center"/>
        <w:rPr>
          <w:b/>
          <w:bCs/>
          <w:color w:val="000000"/>
          <w:sz w:val="28"/>
          <w:szCs w:val="28"/>
        </w:rPr>
      </w:pPr>
    </w:p>
    <w:p>
      <w:pPr>
        <w:pStyle w:val="11"/>
        <w:shd w:val="clear" w:color="auto" w:fill="auto"/>
        <w:spacing w:after="260"/>
        <w:ind w:left="680" w:firstLine="760"/>
        <w:jc w:val="center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  <w:lang w:eastAsia="ru-RU" w:bidi="ru-RU"/>
        </w:rPr>
        <w:t xml:space="preserve">Ключевые показатели и их целевые значения, индикативные показатели </w:t>
      </w:r>
      <w:r>
        <w:rPr>
          <w:b/>
          <w:sz w:val="28"/>
          <w:szCs w:val="28"/>
        </w:rPr>
        <w:t>муниципального контроля в сфере благоустройства на территории городского округа Анадырь</w:t>
      </w:r>
    </w:p>
    <w:p>
      <w:pPr>
        <w:pStyle w:val="11"/>
        <w:numPr>
          <w:ilvl w:val="0"/>
          <w:numId w:val="1"/>
        </w:numPr>
        <w:shd w:val="clear" w:color="auto" w:fill="auto"/>
        <w:tabs>
          <w:tab w:val="left" w:pos="972"/>
        </w:tabs>
        <w:spacing w:after="260"/>
        <w:ind w:firstLine="7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Ключевые показатели муниципального контроля в сфере благоустройства на территории городского округа Анадырь и их целевые значения:</w:t>
      </w:r>
    </w:p>
    <w:tbl>
      <w:tblPr>
        <w:tblOverlap w:val="never"/>
        <w:tblW w:w="935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39"/>
        <w:gridCol w:w="2112"/>
      </w:tblGrid>
      <w:tr>
        <w:trPr>
          <w:trHeight w:hRule="exact" w:val="1072"/>
          <w:jc w:val="center"/>
        </w:trPr>
        <w:tc>
          <w:tcPr>
            <w:tcW w:w="72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>
            <w:pPr>
              <w:pStyle w:val="af5"/>
              <w:shd w:val="clear" w:color="auto" w:fill="auto"/>
              <w:spacing w:after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ru-RU" w:bidi="ru-RU"/>
              </w:rPr>
              <w:t>Ключевые показатели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>
            <w:pPr>
              <w:pStyle w:val="af5"/>
              <w:shd w:val="clear" w:color="auto" w:fill="auto"/>
              <w:spacing w:after="0" w:line="298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ru-RU" w:bidi="ru-RU"/>
              </w:rPr>
              <w:t>Целевые значения (%)</w:t>
            </w:r>
          </w:p>
        </w:tc>
      </w:tr>
      <w:tr>
        <w:trPr>
          <w:trHeight w:hRule="exact" w:val="1047"/>
          <w:jc w:val="center"/>
        </w:trPr>
        <w:tc>
          <w:tcPr>
            <w:tcW w:w="72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>
            <w:pPr>
              <w:pStyle w:val="af5"/>
              <w:shd w:val="clear" w:color="auto" w:fill="auto"/>
              <w:spacing w:after="0" w:line="298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Доля устраненных нарушений обязательных требований из числа выявленных нарушений обязательных требований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af5"/>
              <w:shd w:val="clear" w:color="auto" w:fill="auto"/>
              <w:spacing w:after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100</w:t>
            </w:r>
          </w:p>
        </w:tc>
      </w:tr>
      <w:tr>
        <w:trPr>
          <w:trHeight w:hRule="exact" w:val="1549"/>
          <w:jc w:val="center"/>
        </w:trPr>
        <w:tc>
          <w:tcPr>
            <w:tcW w:w="72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>
            <w:pPr>
              <w:pStyle w:val="af5"/>
              <w:shd w:val="clear" w:color="auto" w:fill="auto"/>
              <w:spacing w:after="0" w:line="298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Доля обоснованных жалоб на действия (бездействие) контрольного органа и (или) его должностных лиц при проведении контрольных мероприятий от общего числа поступивших жалоб</w:t>
            </w:r>
          </w:p>
          <w:p>
            <w:pPr>
              <w:pStyle w:val="af5"/>
              <w:shd w:val="clear" w:color="auto" w:fill="auto"/>
              <w:spacing w:after="0" w:line="298" w:lineRule="auto"/>
              <w:ind w:firstLine="0"/>
              <w:jc w:val="both"/>
              <w:rPr>
                <w:sz w:val="28"/>
                <w:szCs w:val="28"/>
              </w:rPr>
            </w:pPr>
          </w:p>
          <w:p>
            <w:pPr>
              <w:pStyle w:val="af5"/>
              <w:shd w:val="clear" w:color="auto" w:fill="auto"/>
              <w:spacing w:after="0" w:line="298" w:lineRule="auto"/>
              <w:ind w:firstLine="0"/>
              <w:jc w:val="both"/>
              <w:rPr>
                <w:sz w:val="28"/>
                <w:szCs w:val="28"/>
              </w:rPr>
            </w:pPr>
          </w:p>
          <w:p>
            <w:pPr>
              <w:pStyle w:val="af5"/>
              <w:shd w:val="clear" w:color="auto" w:fill="auto"/>
              <w:spacing w:after="0" w:line="298" w:lineRule="auto"/>
              <w:ind w:firstLine="0"/>
              <w:jc w:val="both"/>
              <w:rPr>
                <w:sz w:val="28"/>
                <w:szCs w:val="28"/>
              </w:rPr>
            </w:pPr>
          </w:p>
          <w:p>
            <w:pPr>
              <w:pStyle w:val="af5"/>
              <w:shd w:val="clear" w:color="auto" w:fill="auto"/>
              <w:spacing w:after="0" w:line="298" w:lineRule="auto"/>
              <w:ind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af5"/>
              <w:shd w:val="clear" w:color="auto" w:fill="auto"/>
              <w:spacing w:after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0</w:t>
            </w:r>
          </w:p>
        </w:tc>
      </w:tr>
      <w:tr>
        <w:trPr>
          <w:trHeight w:hRule="exact" w:val="1588"/>
          <w:jc w:val="center"/>
        </w:trPr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>
            <w:pPr>
              <w:pStyle w:val="af5"/>
              <w:shd w:val="clear" w:color="auto" w:fill="auto"/>
              <w:spacing w:after="0" w:line="298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Доля решений, принятых по результатам контрольных мероприятий, отмененных контрольным органом и (или) судом, от общего количества решений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af5"/>
              <w:shd w:val="clear" w:color="auto" w:fill="auto"/>
              <w:spacing w:after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0</w:t>
            </w:r>
          </w:p>
        </w:tc>
      </w:tr>
    </w:tbl>
    <w:p>
      <w:pPr>
        <w:spacing w:after="259" w:line="1" w:lineRule="exact"/>
        <w:rPr>
          <w:sz w:val="28"/>
          <w:szCs w:val="28"/>
        </w:rPr>
      </w:pPr>
    </w:p>
    <w:p>
      <w:pPr>
        <w:pStyle w:val="11"/>
        <w:numPr>
          <w:ilvl w:val="0"/>
          <w:numId w:val="1"/>
        </w:numPr>
        <w:shd w:val="clear" w:color="auto" w:fill="auto"/>
        <w:tabs>
          <w:tab w:val="left" w:pos="709"/>
          <w:tab w:val="left" w:pos="977"/>
        </w:tabs>
        <w:spacing w:after="0"/>
        <w:ind w:firstLine="7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 Индикативные показатели</w:t>
      </w:r>
      <w:r>
        <w:t xml:space="preserve"> </w:t>
      </w:r>
      <w:r>
        <w:rPr>
          <w:color w:val="000000"/>
          <w:sz w:val="28"/>
          <w:szCs w:val="28"/>
          <w:lang w:eastAsia="ru-RU" w:bidi="ru-RU"/>
        </w:rPr>
        <w:t>муниципального контроля в сфере благоустройства на территории городского округа Анадырь:</w:t>
      </w:r>
    </w:p>
    <w:p>
      <w:pPr>
        <w:pStyle w:val="11"/>
        <w:shd w:val="clear" w:color="auto" w:fill="auto"/>
        <w:tabs>
          <w:tab w:val="left" w:pos="709"/>
          <w:tab w:val="left" w:pos="886"/>
        </w:tabs>
        <w:spacing w:after="0"/>
        <w:ind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ab/>
        <w:t>количество направленных в органы прокуратуры заявлений о согласовании проведения контрольных мероприятий;</w:t>
      </w:r>
    </w:p>
    <w:p>
      <w:pPr>
        <w:pStyle w:val="11"/>
        <w:shd w:val="clear" w:color="auto" w:fill="auto"/>
        <w:tabs>
          <w:tab w:val="left" w:pos="0"/>
        </w:tabs>
        <w:spacing w:after="0"/>
        <w:ind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ab/>
        <w:t xml:space="preserve">количество направленных в органы прокуратуры заявлений о согласовании </w:t>
      </w:r>
      <w:r>
        <w:rPr>
          <w:sz w:val="28"/>
          <w:szCs w:val="28"/>
        </w:rPr>
        <w:t>проведения контрольных мероприятий, по которым органами прокуратуры отказано в согласовании;</w:t>
      </w:r>
    </w:p>
    <w:p>
      <w:pPr>
        <w:pStyle w:val="11"/>
        <w:tabs>
          <w:tab w:val="left" w:pos="0"/>
        </w:tabs>
        <w:spacing w:after="0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количество выданных предписаний об устранении выявленных нарушений; </w:t>
      </w:r>
    </w:p>
    <w:p>
      <w:pPr>
        <w:pStyle w:val="11"/>
        <w:tabs>
          <w:tab w:val="left" w:pos="0"/>
        </w:tabs>
        <w:ind w:firstLine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>количество исполненных предписаний об устранении выявленных нарушений в установленный срок.</w:t>
      </w:r>
      <w:r>
        <w:rPr>
          <w:color w:val="000000"/>
          <w:sz w:val="28"/>
          <w:szCs w:val="28"/>
        </w:rPr>
        <w:t xml:space="preserve"> </w:t>
      </w:r>
    </w:p>
    <w:sectPr>
      <w:headerReference w:type="even" r:id="rId9"/>
      <w:headerReference w:type="default" r:id="rId10"/>
      <w:pgSz w:w="11906" w:h="16838"/>
      <w:pgMar w:top="1134" w:right="849" w:bottom="709" w:left="1559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end"/>
    </w:r>
  </w:p>
  <w:p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>
      <w:rPr>
        <w:rStyle w:val="a8"/>
        <w:noProof/>
      </w:rPr>
      <w:t>2</w:t>
    </w:r>
    <w:r>
      <w:rPr>
        <w:rStyle w:val="a8"/>
      </w:rPr>
      <w:fldChar w:fldCharType="end"/>
    </w:r>
  </w:p>
  <w:p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B450B6"/>
    <w:multiLevelType w:val="multilevel"/>
    <w:tmpl w:val="2B3878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B9B3A3A"/>
    <w:multiLevelType w:val="multilevel"/>
    <w:tmpl w:val="CE9AA8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D300D1-C966-4430-A197-EB23010FD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customStyle="1" w:styleId="ConsPlusTitle">
    <w:name w:val="ConsPlusTitl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</w:style>
  <w:style w:type="character" w:styleId="a9">
    <w:name w:val="annotation reference"/>
    <w:uiPriority w:val="99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1">
    <w:name w:val="footer"/>
    <w:basedOn w:val="a"/>
    <w:link w:val="af2"/>
    <w:uiPriority w:val="99"/>
    <w:unhideWhenUsed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_"/>
    <w:basedOn w:val="a0"/>
    <w:link w:val="1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f4">
    <w:name w:val="Другое_"/>
    <w:basedOn w:val="a0"/>
    <w:link w:val="af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f3"/>
    <w:pPr>
      <w:widowControl w:val="0"/>
      <w:shd w:val="clear" w:color="auto" w:fill="FFFFFF"/>
      <w:spacing w:after="120"/>
      <w:ind w:firstLine="400"/>
    </w:pPr>
    <w:rPr>
      <w:sz w:val="22"/>
      <w:szCs w:val="22"/>
      <w:lang w:eastAsia="en-US"/>
    </w:rPr>
  </w:style>
  <w:style w:type="paragraph" w:customStyle="1" w:styleId="24">
    <w:name w:val="Колонтитул (2)"/>
    <w:basedOn w:val="a"/>
    <w:link w:val="23"/>
    <w:pPr>
      <w:widowControl w:val="0"/>
      <w:shd w:val="clear" w:color="auto" w:fill="FFFFFF"/>
    </w:pPr>
    <w:rPr>
      <w:sz w:val="20"/>
      <w:szCs w:val="20"/>
      <w:lang w:eastAsia="en-US"/>
    </w:rPr>
  </w:style>
  <w:style w:type="paragraph" w:customStyle="1" w:styleId="af5">
    <w:name w:val="Другое"/>
    <w:basedOn w:val="a"/>
    <w:link w:val="af4"/>
    <w:pPr>
      <w:widowControl w:val="0"/>
      <w:shd w:val="clear" w:color="auto" w:fill="FFFFFF"/>
      <w:spacing w:after="120"/>
      <w:ind w:firstLine="400"/>
    </w:pPr>
    <w:rPr>
      <w:sz w:val="22"/>
      <w:szCs w:val="22"/>
      <w:lang w:eastAsia="en-US"/>
    </w:rPr>
  </w:style>
  <w:style w:type="paragraph" w:styleId="af6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7EACE-C260-4716-8E0E-115E60426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Листопадова</cp:lastModifiedBy>
  <cp:revision>15</cp:revision>
  <cp:lastPrinted>2023-05-25T03:10:00Z</cp:lastPrinted>
  <dcterms:created xsi:type="dcterms:W3CDTF">2023-05-03T02:44:00Z</dcterms:created>
  <dcterms:modified xsi:type="dcterms:W3CDTF">2023-05-29T05:46:00Z</dcterms:modified>
</cp:coreProperties>
</file>